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4B" w:rsidRDefault="00775089" w:rsidP="00775089">
      <w:pPr>
        <w:pStyle w:val="1"/>
        <w:spacing w:before="0" w:after="0"/>
        <w:rPr>
          <w:rFonts w:hAnsi="宋体" w:cs="宋体"/>
          <w:sz w:val="21"/>
          <w:szCs w:val="21"/>
        </w:rPr>
      </w:pPr>
      <w:bookmarkStart w:id="0" w:name="_Toc27212"/>
      <w:bookmarkStart w:id="1" w:name="_Toc101961163"/>
      <w:r>
        <w:rPr>
          <w:rFonts w:ascii="宋体" w:hAnsi="宋体" w:cs="宋体" w:hint="eastAsia"/>
          <w:szCs w:val="30"/>
        </w:rPr>
        <w:t>参数</w:t>
      </w:r>
      <w:r w:rsidR="00CD18A1">
        <w:rPr>
          <w:rFonts w:ascii="宋体" w:hAnsi="宋体" w:cs="宋体" w:hint="eastAsia"/>
          <w:szCs w:val="30"/>
        </w:rPr>
        <w:t>需求</w:t>
      </w:r>
      <w:bookmarkStart w:id="2" w:name="_Toc16069"/>
      <w:bookmarkEnd w:id="0"/>
      <w:bookmarkEnd w:id="1"/>
    </w:p>
    <w:p w:rsidR="0058704B" w:rsidRDefault="00CD18A1">
      <w:pPr>
        <w:pStyle w:val="a3"/>
        <w:snapToGrid w:val="0"/>
        <w:spacing w:beforeLines="0" w:afterLines="0" w:line="240" w:lineRule="auto"/>
        <w:outlineLvl w:val="0"/>
        <w:rPr>
          <w:rFonts w:hAnsi="宋体" w:cs="宋体"/>
          <w:b/>
          <w:bCs/>
        </w:rPr>
      </w:pPr>
      <w:r>
        <w:rPr>
          <w:rFonts w:hAnsi="宋体" w:cs="宋体" w:hint="eastAsia"/>
          <w:b/>
          <w:bCs/>
        </w:rPr>
        <w:t>一、商务要求（如技术需求有相关要求，则以技术需求为准）</w:t>
      </w:r>
      <w:bookmarkEnd w:id="2"/>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48"/>
        <w:gridCol w:w="7065"/>
      </w:tblGrid>
      <w:tr w:rsidR="0058704B">
        <w:trPr>
          <w:trHeight w:val="642"/>
          <w:jc w:val="center"/>
        </w:trPr>
        <w:tc>
          <w:tcPr>
            <w:tcW w:w="1548" w:type="dxa"/>
            <w:tcBorders>
              <w:top w:val="single" w:sz="4" w:space="0" w:color="auto"/>
              <w:left w:val="single" w:sz="4" w:space="0" w:color="auto"/>
              <w:bottom w:val="single" w:sz="4" w:space="0" w:color="auto"/>
              <w:right w:val="single" w:sz="4" w:space="0" w:color="auto"/>
            </w:tcBorders>
            <w:vAlign w:val="center"/>
          </w:tcPr>
          <w:p w:rsidR="0058704B" w:rsidRDefault="00CD18A1">
            <w:pPr>
              <w:spacing w:line="360" w:lineRule="auto"/>
              <w:jc w:val="center"/>
              <w:rPr>
                <w:rFonts w:ascii="宋体" w:hAnsi="宋体" w:cs="宋体"/>
                <w:b/>
                <w:bCs/>
                <w:szCs w:val="21"/>
              </w:rPr>
            </w:pPr>
            <w:r>
              <w:rPr>
                <w:rFonts w:ascii="宋体" w:hAnsi="宋体" w:cs="宋体" w:hint="eastAsia"/>
                <w:b/>
                <w:bCs/>
                <w:szCs w:val="21"/>
              </w:rPr>
              <w:t>项目</w:t>
            </w:r>
          </w:p>
        </w:tc>
        <w:tc>
          <w:tcPr>
            <w:tcW w:w="7065" w:type="dxa"/>
            <w:tcBorders>
              <w:top w:val="single" w:sz="4" w:space="0" w:color="auto"/>
              <w:left w:val="single" w:sz="4" w:space="0" w:color="auto"/>
              <w:bottom w:val="single" w:sz="4" w:space="0" w:color="auto"/>
              <w:right w:val="single" w:sz="4" w:space="0" w:color="auto"/>
            </w:tcBorders>
            <w:vAlign w:val="center"/>
          </w:tcPr>
          <w:p w:rsidR="0058704B" w:rsidRDefault="00CD18A1">
            <w:pPr>
              <w:spacing w:line="360" w:lineRule="auto"/>
              <w:jc w:val="center"/>
              <w:rPr>
                <w:rFonts w:ascii="宋体" w:hAnsi="宋体" w:cs="宋体"/>
                <w:b/>
                <w:bCs/>
                <w:szCs w:val="21"/>
              </w:rPr>
            </w:pPr>
            <w:r>
              <w:rPr>
                <w:rFonts w:ascii="宋体" w:hAnsi="宋体" w:cs="宋体" w:hint="eastAsia"/>
                <w:b/>
                <w:bCs/>
                <w:szCs w:val="21"/>
              </w:rPr>
              <w:t xml:space="preserve">要 求 </w:t>
            </w:r>
          </w:p>
        </w:tc>
      </w:tr>
      <w:tr w:rsidR="0058704B">
        <w:trPr>
          <w:trHeight w:val="469"/>
          <w:jc w:val="center"/>
        </w:trPr>
        <w:tc>
          <w:tcPr>
            <w:tcW w:w="1548" w:type="dxa"/>
            <w:tcBorders>
              <w:top w:val="single" w:sz="4" w:space="0" w:color="auto"/>
              <w:left w:val="single" w:sz="4" w:space="0" w:color="auto"/>
              <w:bottom w:val="single" w:sz="4" w:space="0" w:color="auto"/>
              <w:right w:val="single" w:sz="4" w:space="0" w:color="auto"/>
            </w:tcBorders>
            <w:vAlign w:val="center"/>
          </w:tcPr>
          <w:p w:rsidR="0058704B" w:rsidRDefault="00CD18A1">
            <w:pPr>
              <w:spacing w:line="360" w:lineRule="auto"/>
              <w:jc w:val="center"/>
              <w:rPr>
                <w:rFonts w:ascii="宋体" w:hAnsi="宋体" w:cs="宋体"/>
                <w:b/>
                <w:bCs/>
                <w:szCs w:val="21"/>
              </w:rPr>
            </w:pPr>
            <w:r>
              <w:rPr>
                <w:rFonts w:ascii="宋体" w:hAnsi="宋体" w:cs="宋体" w:hint="eastAsia"/>
                <w:b/>
                <w:bCs/>
                <w:szCs w:val="21"/>
              </w:rPr>
              <w:t>合作期限</w:t>
            </w:r>
          </w:p>
        </w:tc>
        <w:tc>
          <w:tcPr>
            <w:tcW w:w="7065" w:type="dxa"/>
            <w:tcBorders>
              <w:top w:val="single" w:sz="4" w:space="0" w:color="auto"/>
              <w:left w:val="single" w:sz="4" w:space="0" w:color="auto"/>
              <w:bottom w:val="single" w:sz="4" w:space="0" w:color="auto"/>
              <w:right w:val="single" w:sz="4" w:space="0" w:color="auto"/>
            </w:tcBorders>
            <w:vAlign w:val="center"/>
          </w:tcPr>
          <w:p w:rsidR="0058704B" w:rsidRDefault="00CD18A1">
            <w:pPr>
              <w:snapToGrid w:val="0"/>
              <w:spacing w:line="360" w:lineRule="auto"/>
              <w:rPr>
                <w:rFonts w:ascii="宋体" w:hAnsi="宋体"/>
                <w:szCs w:val="21"/>
              </w:rPr>
            </w:pPr>
            <w:r>
              <w:rPr>
                <w:rFonts w:ascii="宋体" w:hAnsi="宋体" w:cs="Calibri" w:hint="eastAsia"/>
                <w:szCs w:val="21"/>
              </w:rPr>
              <w:t>合同约定的总金额履行结束或时间期限到期后，合同</w:t>
            </w:r>
            <w:r>
              <w:rPr>
                <w:rFonts w:ascii="宋体" w:hAnsi="宋体" w:cs="宋体" w:hint="eastAsia"/>
                <w:szCs w:val="21"/>
              </w:rPr>
              <w:t>终止。</w:t>
            </w:r>
          </w:p>
        </w:tc>
      </w:tr>
      <w:tr w:rsidR="0058704B">
        <w:trPr>
          <w:trHeight w:val="469"/>
          <w:jc w:val="center"/>
        </w:trPr>
        <w:tc>
          <w:tcPr>
            <w:tcW w:w="1548" w:type="dxa"/>
            <w:tcBorders>
              <w:top w:val="single" w:sz="4" w:space="0" w:color="auto"/>
              <w:left w:val="single" w:sz="4" w:space="0" w:color="auto"/>
              <w:bottom w:val="single" w:sz="4" w:space="0" w:color="auto"/>
              <w:right w:val="single" w:sz="4" w:space="0" w:color="auto"/>
            </w:tcBorders>
            <w:vAlign w:val="center"/>
          </w:tcPr>
          <w:p w:rsidR="0058704B" w:rsidRDefault="00CD18A1">
            <w:pPr>
              <w:spacing w:line="360" w:lineRule="auto"/>
              <w:jc w:val="center"/>
              <w:rPr>
                <w:rFonts w:ascii="宋体" w:hAnsi="宋体" w:cs="宋体"/>
                <w:b/>
                <w:bCs/>
                <w:szCs w:val="21"/>
              </w:rPr>
            </w:pPr>
            <w:r>
              <w:rPr>
                <w:rFonts w:ascii="宋体" w:hAnsi="宋体" w:cs="Calibri" w:hint="eastAsia"/>
                <w:b/>
                <w:bCs/>
                <w:szCs w:val="21"/>
              </w:rPr>
              <w:t>付款方式</w:t>
            </w:r>
          </w:p>
        </w:tc>
        <w:tc>
          <w:tcPr>
            <w:tcW w:w="7065" w:type="dxa"/>
            <w:tcBorders>
              <w:top w:val="single" w:sz="4" w:space="0" w:color="auto"/>
              <w:left w:val="single" w:sz="4" w:space="0" w:color="auto"/>
              <w:bottom w:val="single" w:sz="4" w:space="0" w:color="auto"/>
              <w:right w:val="single" w:sz="4" w:space="0" w:color="auto"/>
            </w:tcBorders>
            <w:vAlign w:val="center"/>
          </w:tcPr>
          <w:p w:rsidR="0058704B" w:rsidRDefault="00CD18A1">
            <w:pPr>
              <w:snapToGrid w:val="0"/>
              <w:spacing w:line="360" w:lineRule="auto"/>
              <w:rPr>
                <w:rFonts w:ascii="Arial" w:hAnsi="Arial" w:cs="Arial"/>
                <w:bCs/>
                <w:szCs w:val="21"/>
              </w:rPr>
            </w:pPr>
            <w:r>
              <w:rPr>
                <w:rFonts w:ascii="宋体" w:hAnsi="宋体" w:cs="Calibri" w:hint="eastAsia"/>
                <w:szCs w:val="21"/>
              </w:rPr>
              <w:t>每季度核对送检明细进行对账，对账无误后，采购人在收到成交供应商开具的正式发票后30个工作日内汇款至成交供应商。</w:t>
            </w:r>
          </w:p>
        </w:tc>
      </w:tr>
      <w:tr w:rsidR="0058704B">
        <w:trPr>
          <w:trHeight w:val="469"/>
          <w:jc w:val="center"/>
        </w:trPr>
        <w:tc>
          <w:tcPr>
            <w:tcW w:w="1548" w:type="dxa"/>
            <w:tcBorders>
              <w:top w:val="single" w:sz="4" w:space="0" w:color="auto"/>
              <w:left w:val="single" w:sz="4" w:space="0" w:color="auto"/>
              <w:bottom w:val="single" w:sz="4" w:space="0" w:color="auto"/>
              <w:right w:val="single" w:sz="4" w:space="0" w:color="auto"/>
            </w:tcBorders>
            <w:vAlign w:val="center"/>
          </w:tcPr>
          <w:p w:rsidR="0058704B" w:rsidRDefault="00CD18A1">
            <w:pPr>
              <w:spacing w:line="360" w:lineRule="auto"/>
              <w:jc w:val="center"/>
              <w:rPr>
                <w:rFonts w:ascii="宋体" w:hAnsi="宋体" w:cs="宋体"/>
                <w:b/>
                <w:bCs/>
                <w:szCs w:val="21"/>
              </w:rPr>
            </w:pPr>
            <w:r>
              <w:rPr>
                <w:rFonts w:ascii="宋体" w:hAnsi="宋体" w:cs="宋体" w:hint="eastAsia"/>
                <w:b/>
                <w:bCs/>
                <w:szCs w:val="21"/>
              </w:rPr>
              <w:t>履约保证金</w:t>
            </w:r>
          </w:p>
        </w:tc>
        <w:tc>
          <w:tcPr>
            <w:tcW w:w="7065" w:type="dxa"/>
            <w:tcBorders>
              <w:top w:val="single" w:sz="4" w:space="0" w:color="auto"/>
              <w:left w:val="single" w:sz="4" w:space="0" w:color="auto"/>
              <w:bottom w:val="single" w:sz="4" w:space="0" w:color="auto"/>
              <w:right w:val="single" w:sz="4" w:space="0" w:color="auto"/>
            </w:tcBorders>
            <w:vAlign w:val="center"/>
          </w:tcPr>
          <w:p w:rsidR="0058704B" w:rsidRDefault="00CD18A1">
            <w:pPr>
              <w:adjustRightInd w:val="0"/>
              <w:snapToGrid w:val="0"/>
              <w:spacing w:line="360" w:lineRule="auto"/>
              <w:rPr>
                <w:rFonts w:ascii="Arial" w:hAnsi="Arial" w:cs="Arial"/>
                <w:bCs/>
                <w:szCs w:val="21"/>
              </w:rPr>
            </w:pPr>
            <w:r>
              <w:rPr>
                <w:rFonts w:ascii="Arial" w:hAnsi="Arial" w:cs="Arial" w:hint="eastAsia"/>
                <w:bCs/>
                <w:szCs w:val="21"/>
              </w:rPr>
              <w:t>无。</w:t>
            </w:r>
          </w:p>
        </w:tc>
      </w:tr>
      <w:tr w:rsidR="0058704B">
        <w:trPr>
          <w:trHeight w:val="90"/>
          <w:jc w:val="center"/>
        </w:trPr>
        <w:tc>
          <w:tcPr>
            <w:tcW w:w="1548" w:type="dxa"/>
            <w:tcBorders>
              <w:top w:val="single" w:sz="4" w:space="0" w:color="auto"/>
              <w:left w:val="single" w:sz="4" w:space="0" w:color="auto"/>
              <w:bottom w:val="single" w:sz="4" w:space="0" w:color="auto"/>
              <w:right w:val="single" w:sz="4" w:space="0" w:color="auto"/>
            </w:tcBorders>
            <w:vAlign w:val="center"/>
          </w:tcPr>
          <w:p w:rsidR="0058704B" w:rsidRDefault="00CD18A1">
            <w:pPr>
              <w:spacing w:line="360" w:lineRule="auto"/>
              <w:jc w:val="center"/>
              <w:rPr>
                <w:rFonts w:ascii="宋体" w:hAnsi="宋体" w:cs="宋体"/>
                <w:b/>
                <w:bCs/>
                <w:szCs w:val="21"/>
              </w:rPr>
            </w:pPr>
            <w:r>
              <w:rPr>
                <w:rFonts w:ascii="宋体" w:hAnsi="宋体" w:cs="宋体" w:hint="eastAsia"/>
                <w:b/>
                <w:bCs/>
                <w:szCs w:val="21"/>
              </w:rPr>
              <w:t>考核要求</w:t>
            </w:r>
          </w:p>
        </w:tc>
        <w:tc>
          <w:tcPr>
            <w:tcW w:w="7065" w:type="dxa"/>
            <w:tcBorders>
              <w:top w:val="single" w:sz="4" w:space="0" w:color="auto"/>
              <w:left w:val="single" w:sz="4" w:space="0" w:color="auto"/>
              <w:bottom w:val="single" w:sz="4" w:space="0" w:color="auto"/>
              <w:right w:val="single" w:sz="4" w:space="0" w:color="auto"/>
            </w:tcBorders>
            <w:vAlign w:val="center"/>
          </w:tcPr>
          <w:p w:rsidR="0058704B" w:rsidRDefault="00CD18A1">
            <w:pPr>
              <w:adjustRightInd w:val="0"/>
              <w:snapToGrid w:val="0"/>
              <w:spacing w:line="360" w:lineRule="auto"/>
              <w:rPr>
                <w:rFonts w:ascii="宋体" w:hAnsi="宋体" w:cs="宋体"/>
                <w:szCs w:val="21"/>
              </w:rPr>
            </w:pPr>
            <w:r>
              <w:rPr>
                <w:rFonts w:ascii="宋体" w:hAnsi="宋体" w:cs="宋体" w:hint="eastAsia"/>
                <w:szCs w:val="21"/>
              </w:rPr>
              <w:t>1、报告时间延迟半天扣检测费的50%，延迟一天检测费减免，如造成投诉纠纷需承担相应责任。五次以上延迟报告，且不能说明原因的，或是成交供应商完全过错的，采购人有权利提前解除合同。</w:t>
            </w:r>
          </w:p>
          <w:p w:rsidR="0058704B" w:rsidRDefault="00CD18A1">
            <w:pPr>
              <w:adjustRightInd w:val="0"/>
              <w:snapToGrid w:val="0"/>
              <w:spacing w:line="360" w:lineRule="auto"/>
              <w:rPr>
                <w:rFonts w:ascii="宋体" w:hAnsi="宋体" w:cs="宋体"/>
                <w:szCs w:val="21"/>
              </w:rPr>
            </w:pPr>
            <w:r>
              <w:rPr>
                <w:rFonts w:ascii="宋体" w:hAnsi="宋体" w:cs="宋体" w:hint="eastAsia"/>
                <w:szCs w:val="21"/>
              </w:rPr>
              <w:t>2、成交供应商需要接受采购人的检验质控</w:t>
            </w:r>
            <w:r>
              <w:rPr>
                <w:rFonts w:ascii="宋体" w:hAnsi="宋体" w:cs="宋体"/>
                <w:szCs w:val="21"/>
                <w:u w:val="dotted"/>
              </w:rPr>
              <w:t>现场</w:t>
            </w:r>
            <w:r>
              <w:rPr>
                <w:rFonts w:ascii="宋体" w:hAnsi="宋体" w:cs="宋体" w:hint="eastAsia"/>
                <w:szCs w:val="21"/>
              </w:rPr>
              <w:t>检查</w:t>
            </w:r>
            <w:r>
              <w:rPr>
                <w:rFonts w:ascii="宋体" w:hAnsi="宋体" w:cs="宋体"/>
                <w:szCs w:val="21"/>
              </w:rPr>
              <w:t>，对于不认可的项目，</w:t>
            </w:r>
            <w:r>
              <w:rPr>
                <w:rFonts w:ascii="宋体" w:hAnsi="宋体" w:cs="宋体" w:hint="eastAsia"/>
                <w:szCs w:val="21"/>
              </w:rPr>
              <w:t>采购人</w:t>
            </w:r>
            <w:r>
              <w:rPr>
                <w:rFonts w:ascii="宋体" w:hAnsi="宋体" w:cs="宋体"/>
                <w:szCs w:val="21"/>
              </w:rPr>
              <w:t>有权终止。</w:t>
            </w:r>
          </w:p>
          <w:p w:rsidR="0058704B" w:rsidRDefault="00CD18A1">
            <w:pPr>
              <w:adjustRightInd w:val="0"/>
              <w:snapToGrid w:val="0"/>
              <w:spacing w:line="360" w:lineRule="auto"/>
              <w:rPr>
                <w:rFonts w:ascii="Arial" w:hAnsi="Arial" w:cs="Arial"/>
                <w:bCs/>
                <w:szCs w:val="21"/>
              </w:rPr>
            </w:pPr>
            <w:r>
              <w:rPr>
                <w:rFonts w:ascii="宋体" w:hAnsi="宋体" w:cs="宋体" w:hint="eastAsia"/>
                <w:szCs w:val="21"/>
              </w:rPr>
              <w:t>3、结果的准确性：当临床提出报告与临床症状不符时，需提供免费复查，包括重新采样复查和原样本复查。</w:t>
            </w:r>
          </w:p>
        </w:tc>
      </w:tr>
    </w:tbl>
    <w:p w:rsidR="0058704B" w:rsidRDefault="0058704B">
      <w:pPr>
        <w:pStyle w:val="a3"/>
        <w:snapToGrid w:val="0"/>
        <w:spacing w:beforeLines="0" w:afterLines="0" w:line="240" w:lineRule="auto"/>
        <w:outlineLvl w:val="0"/>
        <w:rPr>
          <w:rFonts w:hAnsi="宋体" w:cs="宋体"/>
          <w:b/>
          <w:bCs/>
          <w:sz w:val="24"/>
          <w:szCs w:val="24"/>
        </w:rPr>
      </w:pPr>
    </w:p>
    <w:p w:rsidR="0058704B" w:rsidRDefault="00CD18A1">
      <w:pPr>
        <w:pStyle w:val="a3"/>
        <w:numPr>
          <w:ilvl w:val="0"/>
          <w:numId w:val="2"/>
        </w:numPr>
        <w:snapToGrid w:val="0"/>
        <w:spacing w:beforeLines="0" w:afterLines="0" w:line="240" w:lineRule="auto"/>
        <w:outlineLvl w:val="0"/>
        <w:rPr>
          <w:rFonts w:hAnsi="宋体" w:cs="宋体"/>
          <w:b/>
          <w:bCs/>
        </w:rPr>
      </w:pPr>
      <w:r>
        <w:rPr>
          <w:rFonts w:hAnsi="宋体" w:cs="宋体" w:hint="eastAsia"/>
          <w:b/>
          <w:bCs/>
        </w:rPr>
        <w:t>技术需求</w:t>
      </w:r>
    </w:p>
    <w:p w:rsidR="0058704B" w:rsidRDefault="00CD18A1">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1、实验室概况</w:t>
      </w:r>
    </w:p>
    <w:p w:rsidR="0058704B" w:rsidRDefault="00CD18A1">
      <w:pPr>
        <w:tabs>
          <w:tab w:val="left" w:pos="6510"/>
        </w:tabs>
        <w:adjustRightInd w:val="0"/>
        <w:snapToGrid w:val="0"/>
        <w:spacing w:line="360" w:lineRule="auto"/>
        <w:ind w:firstLineChars="200" w:firstLine="420"/>
        <w:rPr>
          <w:rFonts w:ascii="宋体" w:hAnsi="宋体" w:cs="宋体"/>
          <w:b/>
          <w:szCs w:val="21"/>
        </w:rPr>
      </w:pPr>
      <w:r>
        <w:rPr>
          <w:rFonts w:ascii="宋体" w:hAnsi="宋体" w:cs="宋体" w:hint="eastAsia"/>
        </w:rPr>
        <w:t>★</w:t>
      </w:r>
      <w:r>
        <w:rPr>
          <w:rFonts w:ascii="宋体" w:hAnsi="宋体" w:cs="宋体" w:hint="eastAsia"/>
          <w:b/>
          <w:szCs w:val="21"/>
        </w:rPr>
        <w:t>1.1 实验室符合医学检验实验室的基本标准和管理规范，对于拟成交的项目有开展相应项目检测能力的实验室资质。实验室内开展检测项目的核心仪器设备应有医疗器械注册证，并建立设备管理制度，规范仪器校准与性能验证。</w:t>
      </w:r>
    </w:p>
    <w:p w:rsidR="0058704B" w:rsidRDefault="00CD18A1">
      <w:pPr>
        <w:spacing w:line="360" w:lineRule="auto"/>
        <w:ind w:firstLineChars="200" w:firstLine="420"/>
        <w:rPr>
          <w:rFonts w:ascii="宋体" w:hAnsi="宋体" w:cs="宋体"/>
          <w:szCs w:val="21"/>
        </w:rPr>
      </w:pPr>
      <w:r>
        <w:rPr>
          <w:rFonts w:ascii="宋体" w:hAnsi="宋体" w:cs="宋体" w:hint="eastAsia"/>
          <w:szCs w:val="21"/>
        </w:rPr>
        <w:t>2、学术支撑与服务</w:t>
      </w:r>
    </w:p>
    <w:p w:rsidR="0058704B" w:rsidRDefault="00CD18A1">
      <w:pPr>
        <w:spacing w:line="360" w:lineRule="auto"/>
        <w:ind w:firstLineChars="200" w:firstLine="420"/>
        <w:rPr>
          <w:rFonts w:ascii="宋体" w:hAnsi="宋体" w:cs="宋体"/>
          <w:szCs w:val="21"/>
        </w:rPr>
      </w:pPr>
      <w:r>
        <w:rPr>
          <w:rFonts w:ascii="宋体" w:hAnsi="宋体" w:cs="宋体" w:hint="eastAsia"/>
          <w:szCs w:val="21"/>
        </w:rPr>
        <w:t>2.1 供应商承诺在采购人认为必要时请相关专家到医院进行技术培训讲课，举办学术交流，供应商需提供检测方面培训，协助采购人提高医生的诊断水平。</w:t>
      </w:r>
    </w:p>
    <w:p w:rsidR="0058704B" w:rsidRDefault="00CD18A1">
      <w:pPr>
        <w:spacing w:line="360" w:lineRule="auto"/>
        <w:ind w:firstLineChars="200" w:firstLine="420"/>
        <w:rPr>
          <w:rFonts w:ascii="宋体" w:hAnsi="宋体" w:cs="宋体"/>
          <w:szCs w:val="21"/>
        </w:rPr>
      </w:pPr>
      <w:r>
        <w:rPr>
          <w:rFonts w:ascii="宋体" w:hAnsi="宋体" w:cs="宋体" w:hint="eastAsia"/>
          <w:szCs w:val="21"/>
        </w:rPr>
        <w:t>2.2 在采购人采购中心需要时，协助采购人做好质量管理。</w:t>
      </w:r>
    </w:p>
    <w:p w:rsidR="0058704B" w:rsidRDefault="00CD18A1">
      <w:pPr>
        <w:spacing w:line="360" w:lineRule="auto"/>
        <w:ind w:firstLineChars="200" w:firstLine="420"/>
        <w:rPr>
          <w:rFonts w:ascii="宋体" w:hAnsi="宋体" w:cs="宋体"/>
          <w:szCs w:val="21"/>
        </w:rPr>
      </w:pPr>
      <w:r>
        <w:rPr>
          <w:rFonts w:ascii="宋体" w:hAnsi="宋体" w:cs="宋体" w:hint="eastAsia"/>
          <w:szCs w:val="21"/>
        </w:rPr>
        <w:t>3、样本管理方案</w:t>
      </w:r>
    </w:p>
    <w:p w:rsidR="0058704B" w:rsidRDefault="00CD18A1">
      <w:pPr>
        <w:spacing w:line="360" w:lineRule="auto"/>
        <w:ind w:firstLineChars="200" w:firstLine="420"/>
        <w:rPr>
          <w:rFonts w:ascii="宋体" w:hAnsi="宋体" w:cs="宋体"/>
          <w:szCs w:val="21"/>
        </w:rPr>
      </w:pPr>
      <w:r>
        <w:rPr>
          <w:rFonts w:ascii="宋体" w:hAnsi="宋体" w:cs="宋体" w:hint="eastAsia"/>
          <w:szCs w:val="21"/>
        </w:rPr>
        <w:t>3.1 供应商有为采购人保密的义务， 供应商不得向采购人及其工作人员以外的任何单位或个人泄露采购人委托检验的项目、检验的内容、检验的结果，并提供</w:t>
      </w:r>
      <w:r>
        <w:rPr>
          <w:rFonts w:ascii="宋体" w:hAnsi="宋体" w:hint="eastAsia"/>
          <w:szCs w:val="21"/>
        </w:rPr>
        <w:t>对患者送检标本及检测结果等相关资料的隐私保护措施</w:t>
      </w:r>
      <w:r>
        <w:rPr>
          <w:rFonts w:ascii="宋体" w:hAnsi="宋体" w:cs="宋体" w:hint="eastAsia"/>
          <w:szCs w:val="21"/>
        </w:rPr>
        <w:t>；</w:t>
      </w:r>
    </w:p>
    <w:p w:rsidR="0058704B" w:rsidRDefault="00CD18A1">
      <w:pPr>
        <w:spacing w:line="360" w:lineRule="auto"/>
        <w:ind w:firstLineChars="200" w:firstLine="420"/>
        <w:rPr>
          <w:rFonts w:ascii="宋体" w:hAnsi="宋体"/>
          <w:szCs w:val="21"/>
        </w:rPr>
      </w:pPr>
      <w:r>
        <w:rPr>
          <w:rFonts w:ascii="宋体" w:hAnsi="宋体" w:hint="eastAsia"/>
          <w:szCs w:val="21"/>
        </w:rPr>
        <w:t>3.2 提供完整的样本全流程追踪系统，该系统具备样本出入库管理、检测进度查询、报告结果查看、等多项功能，保障样本在实验和分析周期中的有效管理。</w:t>
      </w:r>
    </w:p>
    <w:p w:rsidR="0058704B" w:rsidRDefault="00CD18A1">
      <w:pP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4、标本收取及报告：</w:t>
      </w:r>
      <w:r>
        <w:rPr>
          <w:rFonts w:ascii="宋体" w:hAnsi="宋体" w:cs="宋体" w:hint="eastAsia"/>
          <w:szCs w:val="21"/>
          <w:u w:val="single"/>
        </w:rPr>
        <w:t>供应商每周至少5次到采购单位处收取标本。收取人员必须当场确认采集量和标本类型是否符合要求，如不符及时和检验中心人员联系。固定上门服务时间，</w:t>
      </w:r>
      <w:r>
        <w:rPr>
          <w:rFonts w:ascii="宋体" w:hAnsi="宋体" w:cs="宋体" w:hint="eastAsia"/>
          <w:szCs w:val="21"/>
          <w:u w:val="single"/>
        </w:rPr>
        <w:lastRenderedPageBreak/>
        <w:t>收取时间16：00-17:00时，按照采购单位提供的检验手册承诺报告时间约定为报告时限，如果有延迟须提前与检验科联系说明情况。所有报告单可在网上查询，并与医院lis系统连接，接口相关费用由供应商支付。</w:t>
      </w:r>
    </w:p>
    <w:p w:rsidR="0058704B" w:rsidRDefault="00CD18A1">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服务时间：周一至周五上门收取标本（农历除夕、大年初一二三、节假日不可抗力情况除外）。如节假日需要接收标本，需提前一周向乙方告知。</w:t>
      </w:r>
    </w:p>
    <w:p w:rsidR="0058704B" w:rsidRDefault="00CD18A1">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5、运输冷链系统要求</w:t>
      </w:r>
    </w:p>
    <w:p w:rsidR="0058704B" w:rsidRDefault="00CD18A1">
      <w:pPr>
        <w:adjustRightInd w:val="0"/>
        <w:snapToGrid w:val="0"/>
        <w:spacing w:line="360" w:lineRule="auto"/>
        <w:ind w:firstLineChars="200" w:firstLine="420"/>
        <w:rPr>
          <w:rFonts w:ascii="宋体" w:hAnsi="宋体" w:cs="宋体"/>
          <w:szCs w:val="21"/>
        </w:rPr>
      </w:pPr>
      <w:r>
        <w:rPr>
          <w:rFonts w:ascii="宋体" w:hAnsi="宋体" w:cs="宋体" w:hint="eastAsia"/>
        </w:rPr>
        <w:t>★5</w:t>
      </w:r>
      <w:r>
        <w:rPr>
          <w:rFonts w:ascii="宋体" w:hAnsi="宋体" w:cs="宋体" w:hint="eastAsia"/>
          <w:szCs w:val="21"/>
        </w:rPr>
        <w:t>.1 所有样本的运送必须符合样本运输管理要求，采用相应的冷链运送技术，特殊标本运输过程中需干冰冻存。</w:t>
      </w:r>
    </w:p>
    <w:p w:rsidR="0058704B" w:rsidRDefault="00CD18A1">
      <w:pPr>
        <w:adjustRightInd w:val="0"/>
        <w:snapToGrid w:val="0"/>
        <w:spacing w:line="360" w:lineRule="auto"/>
        <w:ind w:firstLineChars="200" w:firstLine="420"/>
        <w:rPr>
          <w:rFonts w:ascii="宋体" w:hAnsi="宋体" w:cs="宋体"/>
          <w:szCs w:val="21"/>
        </w:rPr>
      </w:pPr>
      <w:r>
        <w:rPr>
          <w:rFonts w:ascii="宋体" w:hAnsi="宋体" w:cs="宋体" w:hint="eastAsia"/>
          <w:szCs w:val="21"/>
        </w:rPr>
        <w:t>5.2所有样本运送必须采用符合相关标准的冷链物流车或转送车辆及冷链物流箱，冷链物流车或转送车辆及冷链物流箱配备数量满足标本转送要求。</w:t>
      </w:r>
    </w:p>
    <w:p w:rsidR="0058704B" w:rsidRDefault="00CD18A1">
      <w:pPr>
        <w:adjustRightInd w:val="0"/>
        <w:snapToGrid w:val="0"/>
        <w:spacing w:line="360" w:lineRule="auto"/>
        <w:ind w:firstLineChars="200" w:firstLine="420"/>
        <w:rPr>
          <w:rFonts w:ascii="宋体" w:hAnsi="宋体" w:cs="宋体"/>
          <w:szCs w:val="21"/>
        </w:rPr>
      </w:pPr>
      <w:r>
        <w:rPr>
          <w:rFonts w:ascii="宋体" w:hAnsi="宋体" w:cs="宋体" w:hint="eastAsia"/>
          <w:szCs w:val="21"/>
        </w:rPr>
        <w:t>5.3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究相关损失。</w:t>
      </w:r>
    </w:p>
    <w:p w:rsidR="0058704B" w:rsidRDefault="00CD18A1">
      <w:pPr>
        <w:adjustRightInd w:val="0"/>
        <w:snapToGrid w:val="0"/>
        <w:spacing w:line="360" w:lineRule="auto"/>
        <w:ind w:firstLineChars="200" w:firstLine="420"/>
        <w:rPr>
          <w:rFonts w:ascii="宋体" w:hAnsi="宋体" w:cs="宋体"/>
          <w:b/>
          <w:szCs w:val="21"/>
        </w:rPr>
      </w:pPr>
      <w:r>
        <w:rPr>
          <w:rFonts w:ascii="宋体" w:hAnsi="宋体" w:cs="宋体" w:hint="eastAsia"/>
        </w:rPr>
        <w:t>★</w:t>
      </w:r>
      <w:r>
        <w:rPr>
          <w:rFonts w:ascii="宋体" w:hAnsi="宋体" w:cs="宋体" w:hint="eastAsia"/>
          <w:b/>
          <w:bCs/>
        </w:rPr>
        <w:t>6</w:t>
      </w:r>
      <w:r>
        <w:rPr>
          <w:rFonts w:ascii="宋体" w:hAnsi="宋体" w:cs="宋体" w:hint="eastAsia"/>
          <w:b/>
          <w:szCs w:val="21"/>
        </w:rPr>
        <w:t>、标本安全管理：</w:t>
      </w:r>
      <w:r>
        <w:rPr>
          <w:rFonts w:ascii="宋体" w:hAnsi="宋体" w:cs="宋体" w:hint="eastAsia"/>
          <w:szCs w:val="21"/>
        </w:rPr>
        <w:t>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rsidR="0058704B" w:rsidRDefault="00CD18A1">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7、标本运输要求：</w:t>
      </w:r>
      <w:r>
        <w:rPr>
          <w:rFonts w:ascii="宋体" w:hAnsi="宋体" w:cs="宋体" w:hint="eastAsia"/>
          <w:szCs w:val="21"/>
        </w:rPr>
        <w:t>运输车辆拥有运输标本专业设备如生物安全转运箱，并装有处置生物安全应急事件的应急箱及消毒用喷壶,可以应对突发生物安全事件的现场处置。</w:t>
      </w:r>
    </w:p>
    <w:p w:rsidR="0058704B" w:rsidRDefault="00CD18A1">
      <w:pPr>
        <w:adjustRightInd w:val="0"/>
        <w:snapToGrid w:val="0"/>
        <w:spacing w:line="360" w:lineRule="auto"/>
        <w:ind w:firstLineChars="200" w:firstLine="422"/>
        <w:rPr>
          <w:rFonts w:ascii="宋体" w:hAnsi="宋体" w:cs="宋体"/>
          <w:szCs w:val="21"/>
        </w:rPr>
      </w:pPr>
      <w:r>
        <w:rPr>
          <w:rFonts w:ascii="宋体" w:hAnsi="宋体" w:cs="宋体" w:hint="eastAsia"/>
          <w:b/>
          <w:szCs w:val="21"/>
        </w:rPr>
        <w:t>8、标本转运制度：</w:t>
      </w:r>
      <w:r>
        <w:rPr>
          <w:rFonts w:ascii="宋体" w:hAnsi="宋体" w:cs="宋体" w:hint="eastAsia"/>
          <w:szCs w:val="21"/>
        </w:rPr>
        <w:t>标本转运物流流程规章制度（包括标本运输紧急预案）及工作各环节操作说明书。</w:t>
      </w:r>
    </w:p>
    <w:p w:rsidR="0058704B" w:rsidRDefault="00CD18A1">
      <w:pPr>
        <w:adjustRightInd w:val="0"/>
        <w:snapToGrid w:val="0"/>
        <w:spacing w:line="360" w:lineRule="auto"/>
        <w:ind w:firstLineChars="200" w:firstLine="422"/>
        <w:rPr>
          <w:rFonts w:ascii="宋体" w:hAnsi="宋体" w:cs="宋体"/>
          <w:szCs w:val="21"/>
        </w:rPr>
      </w:pPr>
      <w:r>
        <w:rPr>
          <w:rFonts w:ascii="宋体" w:hAnsi="宋体" w:cs="宋体" w:hint="eastAsia"/>
          <w:b/>
          <w:szCs w:val="21"/>
        </w:rPr>
        <w:t>9、物流规划方案：</w:t>
      </w:r>
      <w:r>
        <w:rPr>
          <w:rFonts w:ascii="宋体" w:hAnsi="宋体" w:cs="宋体" w:hint="eastAsia"/>
          <w:szCs w:val="21"/>
        </w:rPr>
        <w:t>提供整个物流的完整书面规划方案，如配置的车辆多少，冷链车的数量，冷链箱的数量，每天物流运送的路线和车次的安排，如何保障样本每天的及时送达，安全措施、应急预案等等，该规划方案的书面文件作为评标的重要依据之一。</w:t>
      </w:r>
    </w:p>
    <w:p w:rsidR="0058704B" w:rsidRDefault="00CD18A1">
      <w:pPr>
        <w:adjustRightInd w:val="0"/>
        <w:snapToGrid w:val="0"/>
        <w:spacing w:line="360" w:lineRule="auto"/>
        <w:ind w:firstLineChars="200" w:firstLine="420"/>
        <w:rPr>
          <w:rFonts w:ascii="宋体" w:hAnsi="宋体" w:cs="宋体"/>
          <w:szCs w:val="21"/>
        </w:rPr>
      </w:pPr>
      <w:r>
        <w:rPr>
          <w:rFonts w:ascii="宋体" w:hAnsi="宋体" w:cs="宋体" w:hint="eastAsia"/>
        </w:rPr>
        <w:t>★</w:t>
      </w:r>
      <w:r>
        <w:rPr>
          <w:rFonts w:ascii="宋体" w:hAnsi="宋体" w:cs="宋体" w:hint="eastAsia"/>
          <w:b/>
          <w:szCs w:val="21"/>
        </w:rPr>
        <w:t>10.标本返回方案：</w:t>
      </w:r>
      <w:r>
        <w:rPr>
          <w:rFonts w:ascii="宋体" w:hAnsi="宋体" w:cs="宋体" w:hint="eastAsia"/>
          <w:szCs w:val="21"/>
        </w:rPr>
        <w:t>必要时供应商应有规范的物流方案将样本返还采购人检验科。</w:t>
      </w:r>
    </w:p>
    <w:p w:rsidR="0058704B" w:rsidRDefault="00CD18A1">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（四）检测内容</w:t>
      </w:r>
    </w:p>
    <w:tbl>
      <w:tblPr>
        <w:tblW w:w="8429" w:type="dxa"/>
        <w:tblInd w:w="93" w:type="dxa"/>
        <w:tblLayout w:type="fixed"/>
        <w:tblLook w:val="04A0"/>
      </w:tblPr>
      <w:tblGrid>
        <w:gridCol w:w="6909"/>
        <w:gridCol w:w="1520"/>
      </w:tblGrid>
      <w:tr w:rsidR="0058704B">
        <w:trPr>
          <w:trHeight w:val="418"/>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04B" w:rsidRDefault="00CD18A1">
            <w:pPr>
              <w:adjustRightInd w:val="0"/>
              <w:snapToGrid w:val="0"/>
              <w:spacing w:line="360" w:lineRule="auto"/>
              <w:ind w:firstLineChars="200" w:firstLine="420"/>
              <w:rPr>
                <w:rFonts w:ascii="宋体" w:hAnsi="宋体" w:cs="宋体"/>
                <w:szCs w:val="21"/>
              </w:rPr>
            </w:pPr>
            <w:r>
              <w:rPr>
                <w:rFonts w:ascii="宋体" w:hAnsi="宋体" w:cs="宋体" w:hint="eastAsia"/>
                <w:szCs w:val="21"/>
              </w:rPr>
              <w:t>项目名称</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04B" w:rsidRDefault="00775089" w:rsidP="00775089">
            <w:pPr>
              <w:adjustRightInd w:val="0"/>
              <w:snapToGrid w:val="0"/>
              <w:spacing w:line="360" w:lineRule="auto"/>
              <w:jc w:val="center"/>
              <w:rPr>
                <w:rFonts w:ascii="宋体" w:hAnsi="宋体" w:cs="宋体"/>
                <w:szCs w:val="21"/>
              </w:rPr>
            </w:pPr>
            <w:r>
              <w:rPr>
                <w:rFonts w:ascii="宋体" w:hAnsi="宋体" w:cs="宋体" w:hint="eastAsia"/>
                <w:szCs w:val="21"/>
              </w:rPr>
              <w:t>最高限价</w:t>
            </w:r>
          </w:p>
        </w:tc>
      </w:tr>
      <w:tr w:rsidR="005F04EC">
        <w:trPr>
          <w:trHeight w:val="383"/>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液基细胞学检测</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160</w:t>
            </w:r>
          </w:p>
        </w:tc>
      </w:tr>
      <w:tr w:rsidR="005F04EC">
        <w:trPr>
          <w:trHeight w:val="285"/>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HPV 23分型</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167</w:t>
            </w:r>
          </w:p>
        </w:tc>
      </w:tr>
      <w:tr w:rsidR="005F04EC">
        <w:trPr>
          <w:trHeight w:val="285"/>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BRAF基因突变热点检测(测序法）</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365</w:t>
            </w:r>
          </w:p>
        </w:tc>
      </w:tr>
      <w:tr w:rsidR="005F04EC">
        <w:trPr>
          <w:trHeight w:val="285"/>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甲状腺穿刺细胞学检测</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55</w:t>
            </w:r>
          </w:p>
        </w:tc>
      </w:tr>
      <w:tr w:rsidR="005F04EC">
        <w:trPr>
          <w:trHeight w:val="285"/>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白细胞介素6/IL-6</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30</w:t>
            </w:r>
          </w:p>
        </w:tc>
      </w:tr>
      <w:tr w:rsidR="005F04EC">
        <w:trPr>
          <w:trHeight w:val="375"/>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常规细胞学涂片检测-非妇科</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55</w:t>
            </w:r>
          </w:p>
        </w:tc>
      </w:tr>
      <w:tr w:rsidR="005F04EC">
        <w:trPr>
          <w:trHeight w:val="285"/>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皮肤病理活检</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155</w:t>
            </w:r>
          </w:p>
        </w:tc>
      </w:tr>
      <w:tr w:rsidR="005F04EC">
        <w:trPr>
          <w:trHeight w:val="285"/>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超薄液基细胞学检测-细针穿刺活检</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160</w:t>
            </w:r>
          </w:p>
        </w:tc>
      </w:tr>
      <w:tr w:rsidR="005F04EC">
        <w:trPr>
          <w:trHeight w:val="407"/>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穿刺组织活检检查与诊断（非胃肠）</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114</w:t>
            </w:r>
          </w:p>
        </w:tc>
      </w:tr>
      <w:tr w:rsidR="005F04EC">
        <w:trPr>
          <w:trHeight w:val="290"/>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内镜组织活检检查与诊断（非胃肠）</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114</w:t>
            </w:r>
          </w:p>
        </w:tc>
      </w:tr>
      <w:tr w:rsidR="005F04EC">
        <w:trPr>
          <w:trHeight w:val="290"/>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外周血染色体400带检查</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267</w:t>
            </w:r>
          </w:p>
        </w:tc>
      </w:tr>
      <w:tr w:rsidR="005F04EC">
        <w:trPr>
          <w:trHeight w:val="290"/>
        </w:trPr>
        <w:tc>
          <w:tcPr>
            <w:tcW w:w="6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其它特殊检测项目如病原微生物宏基因组mNGS、自身免疫性脑炎、脱髓鞘疾病、副肿瘤综合征、周围神经病、神经肌肉接头疾病、神经退行性疾病相关抗体的检测等</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4EC" w:rsidRDefault="005F04EC" w:rsidP="00C635A9">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p>
        </w:tc>
      </w:tr>
    </w:tbl>
    <w:p w:rsidR="0058704B" w:rsidRDefault="00CD18A1">
      <w:pPr>
        <w:adjustRightInd w:val="0"/>
        <w:snapToGrid w:val="0"/>
        <w:spacing w:line="360" w:lineRule="auto"/>
        <w:ind w:firstLineChars="200" w:firstLine="420"/>
        <w:rPr>
          <w:rFonts w:ascii="宋体" w:hAnsi="宋体" w:cs="宋体"/>
          <w:szCs w:val="21"/>
        </w:rPr>
      </w:pPr>
      <w:r>
        <w:rPr>
          <w:rFonts w:ascii="宋体" w:hAnsi="宋体" w:cs="宋体" w:hint="eastAsia"/>
          <w:szCs w:val="21"/>
        </w:rPr>
        <w:t>备注：需要标明检测项目的方法学</w:t>
      </w:r>
    </w:p>
    <w:p w:rsidR="0058704B" w:rsidRDefault="00CD18A1">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（五）其它要求</w:t>
      </w:r>
    </w:p>
    <w:p w:rsidR="0058704B" w:rsidRDefault="00CD18A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1、如果医疗服务收费价格发生调整，相关收费标准下调的，按照调整后服务价格进行计算（从收费价格调整之日起开始执行）；如上调收费标准则结算价格不作调整。</w:t>
      </w:r>
    </w:p>
    <w:p w:rsidR="0058704B" w:rsidRDefault="00CD18A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2、突发情况：采购人开展项目仪器发生故障时，提供标本紧急检验服务，按照同类外送项目标本扣率收取费用。</w:t>
      </w:r>
    </w:p>
    <w:p w:rsidR="0058704B" w:rsidRDefault="00CD18A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3、特殊标本：提供临时加急服务，需提供具体方案及报告出具时限等；</w:t>
      </w:r>
    </w:p>
    <w:p w:rsidR="0058704B" w:rsidRDefault="00CD18A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4、提供专业客户服务人员；服务时效：日常电话及时应答，投诉2小时内回复调查进展；</w:t>
      </w:r>
    </w:p>
    <w:p w:rsidR="0058704B" w:rsidRDefault="00CD18A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5、供应商具有完善的质控系统,参照检验质控要求按年度提供所有外送项目的室内质控、室间质控报告；无室间质评的项目，应有实验室间比对的评价报告；定期提供检验仪器设备性能验证报告。</w:t>
      </w:r>
    </w:p>
    <w:p w:rsidR="0058704B" w:rsidRDefault="00CD18A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6、供应商如需召回检验报告的，应通知采购人召回检验报告，并通过上述形式提供新的检验报告。</w:t>
      </w:r>
    </w:p>
    <w:p w:rsidR="0058704B" w:rsidRDefault="00CD18A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7、根据采购人需求，免费提供院方用于相关标本存放用品、耗材等，提供每次到货清单、随货联、合格证、医疗器械注册证等；</w:t>
      </w:r>
    </w:p>
    <w:p w:rsidR="0058704B" w:rsidRDefault="00CD18A1">
      <w:pPr>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8、检验报告中出现危急值，在检验报告审核后5分钟内向采购人报备并说明情况。</w:t>
      </w:r>
    </w:p>
    <w:p w:rsidR="0058704B" w:rsidRDefault="00CD18A1">
      <w:pPr>
        <w:spacing w:line="360" w:lineRule="auto"/>
        <w:ind w:firstLineChars="200" w:firstLine="420"/>
        <w:jc w:val="left"/>
        <w:rPr>
          <w:rFonts w:ascii="宋体" w:hAnsi="宋体" w:cs="宋体"/>
          <w:szCs w:val="21"/>
        </w:rPr>
      </w:pPr>
      <w:r>
        <w:rPr>
          <w:rFonts w:ascii="宋体" w:hAnsi="宋体" w:cs="宋体" w:hint="eastAsia"/>
          <w:szCs w:val="21"/>
        </w:rPr>
        <w:t>9、对采购人需求有快速反应能力，要求在遇到突发情况时成交</w:t>
      </w:r>
      <w:r>
        <w:rPr>
          <w:rFonts w:ascii="宋体" w:hAnsi="宋体" w:hint="eastAsia"/>
          <w:szCs w:val="21"/>
        </w:rPr>
        <w:t>供应商</w:t>
      </w:r>
      <w:r>
        <w:rPr>
          <w:rFonts w:ascii="宋体" w:hAnsi="宋体" w:cs="宋体" w:hint="eastAsia"/>
          <w:szCs w:val="21"/>
        </w:rPr>
        <w:t>半小时内作出相应反馈，必要时一小时内相关人员到位现场协调；</w:t>
      </w:r>
    </w:p>
    <w:p w:rsidR="0058704B" w:rsidRDefault="00CD18A1">
      <w:pPr>
        <w:spacing w:line="360" w:lineRule="auto"/>
        <w:ind w:firstLineChars="200" w:firstLine="420"/>
        <w:jc w:val="left"/>
        <w:rPr>
          <w:rFonts w:ascii="宋体" w:hAnsi="宋体" w:cs="宋体"/>
          <w:szCs w:val="21"/>
        </w:rPr>
      </w:pPr>
      <w:r>
        <w:rPr>
          <w:rFonts w:ascii="宋体" w:hAnsi="宋体" w:cs="宋体" w:hint="eastAsia"/>
          <w:szCs w:val="21"/>
        </w:rPr>
        <w:t>10、遇实验室LIS系统瘫痪或电信网络传输故障时有紧急解决方案。</w:t>
      </w:r>
    </w:p>
    <w:p w:rsidR="0058704B" w:rsidRDefault="00CD18A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11、供应商需承诺能满足采购人所有的磋商文件上表中列明的检测项目。</w:t>
      </w:r>
    </w:p>
    <w:p w:rsidR="0058704B" w:rsidRDefault="00CD18A1">
      <w:pPr>
        <w:adjustRightInd w:val="0"/>
        <w:snapToGrid w:val="0"/>
        <w:spacing w:line="360" w:lineRule="auto"/>
        <w:ind w:firstLineChars="200" w:firstLine="420"/>
        <w:jc w:val="left"/>
      </w:pPr>
      <w:r>
        <w:rPr>
          <w:rFonts w:ascii="宋体" w:hAnsi="宋体" w:cs="宋体" w:hint="eastAsia"/>
          <w:szCs w:val="21"/>
        </w:rPr>
        <w:t>12、成交供应商</w:t>
      </w:r>
      <w:r>
        <w:rPr>
          <w:rFonts w:ascii="宋体" w:hAnsi="宋体" w:cs="宋体" w:hint="eastAsia"/>
          <w:bCs/>
          <w:szCs w:val="21"/>
        </w:rPr>
        <w:t>对检验结果负责，因检验结果问题引起的医疗纠纷，对患方的所有赔（补）偿费用完全由</w:t>
      </w:r>
      <w:r>
        <w:rPr>
          <w:rFonts w:ascii="宋体" w:hAnsi="宋体" w:cs="宋体" w:hint="eastAsia"/>
          <w:szCs w:val="21"/>
        </w:rPr>
        <w:t>成交供应商</w:t>
      </w:r>
      <w:r>
        <w:rPr>
          <w:rFonts w:ascii="宋体" w:hAnsi="宋体" w:cs="宋体" w:hint="eastAsia"/>
          <w:bCs/>
          <w:szCs w:val="21"/>
        </w:rPr>
        <w:t>支付，同时</w:t>
      </w:r>
      <w:r>
        <w:rPr>
          <w:rFonts w:ascii="宋体" w:hAnsi="宋体" w:cs="宋体" w:hint="eastAsia"/>
          <w:szCs w:val="21"/>
        </w:rPr>
        <w:t>成交供应商</w:t>
      </w:r>
      <w:r>
        <w:rPr>
          <w:rFonts w:ascii="宋体" w:hAnsi="宋体" w:cs="宋体" w:hint="eastAsia"/>
          <w:bCs/>
          <w:szCs w:val="21"/>
        </w:rPr>
        <w:t>应对医院进行相应赔偿。</w:t>
      </w:r>
      <w:bookmarkStart w:id="3" w:name="_GoBack"/>
      <w:bookmarkEnd w:id="3"/>
    </w:p>
    <w:sectPr w:rsidR="0058704B" w:rsidSect="005870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37D" w:rsidRDefault="0048237D" w:rsidP="00BE5BD9">
      <w:r>
        <w:separator/>
      </w:r>
    </w:p>
  </w:endnote>
  <w:endnote w:type="continuationSeparator" w:id="1">
    <w:p w:rsidR="0048237D" w:rsidRDefault="0048237D" w:rsidP="00BE5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37D" w:rsidRDefault="0048237D" w:rsidP="00BE5BD9">
      <w:r>
        <w:separator/>
      </w:r>
    </w:p>
  </w:footnote>
  <w:footnote w:type="continuationSeparator" w:id="1">
    <w:p w:rsidR="0048237D" w:rsidRDefault="0048237D" w:rsidP="00BE5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FD496"/>
    <w:multiLevelType w:val="singleLevel"/>
    <w:tmpl w:val="95DFD496"/>
    <w:lvl w:ilvl="0">
      <w:start w:val="2"/>
      <w:numFmt w:val="chineseCounting"/>
      <w:suff w:val="nothing"/>
      <w:lvlText w:val="%1、"/>
      <w:lvlJc w:val="left"/>
      <w:rPr>
        <w:rFonts w:hint="eastAsia"/>
      </w:rPr>
    </w:lvl>
  </w:abstractNum>
  <w:abstractNum w:abstractNumId="1">
    <w:nsid w:val="0000000F"/>
    <w:multiLevelType w:val="singleLevel"/>
    <w:tmpl w:val="0000000F"/>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D4C3C0C"/>
    <w:rsid w:val="0048237D"/>
    <w:rsid w:val="0058704B"/>
    <w:rsid w:val="005F04EC"/>
    <w:rsid w:val="00775089"/>
    <w:rsid w:val="00B76ECC"/>
    <w:rsid w:val="00BE5BD9"/>
    <w:rsid w:val="00CD18A1"/>
    <w:rsid w:val="04983E5B"/>
    <w:rsid w:val="04CC7C6B"/>
    <w:rsid w:val="06257970"/>
    <w:rsid w:val="0C9615C8"/>
    <w:rsid w:val="0D9C4B8C"/>
    <w:rsid w:val="107734BE"/>
    <w:rsid w:val="147D7FEC"/>
    <w:rsid w:val="1D8008AA"/>
    <w:rsid w:val="20E66819"/>
    <w:rsid w:val="28887BBF"/>
    <w:rsid w:val="2C1D2D14"/>
    <w:rsid w:val="2D0363AE"/>
    <w:rsid w:val="322A618B"/>
    <w:rsid w:val="3D4C3C0C"/>
    <w:rsid w:val="3D7B5AED"/>
    <w:rsid w:val="42D55C9F"/>
    <w:rsid w:val="447133F4"/>
    <w:rsid w:val="48741AB6"/>
    <w:rsid w:val="4944592C"/>
    <w:rsid w:val="52E32DFB"/>
    <w:rsid w:val="57E83927"/>
    <w:rsid w:val="5A8E2EAB"/>
    <w:rsid w:val="5CB30E02"/>
    <w:rsid w:val="5D8D744A"/>
    <w:rsid w:val="6183303E"/>
    <w:rsid w:val="63163A3E"/>
    <w:rsid w:val="632223E3"/>
    <w:rsid w:val="67D320AA"/>
    <w:rsid w:val="76AF1D88"/>
    <w:rsid w:val="77277B70"/>
    <w:rsid w:val="7EA12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04B"/>
    <w:pPr>
      <w:widowControl w:val="0"/>
      <w:jc w:val="both"/>
    </w:pPr>
    <w:rPr>
      <w:kern w:val="2"/>
      <w:sz w:val="21"/>
      <w:szCs w:val="24"/>
    </w:rPr>
  </w:style>
  <w:style w:type="paragraph" w:styleId="1">
    <w:name w:val="heading 1"/>
    <w:basedOn w:val="a"/>
    <w:next w:val="a"/>
    <w:qFormat/>
    <w:rsid w:val="0058704B"/>
    <w:pPr>
      <w:keepNext/>
      <w:keepLines/>
      <w:spacing w:before="340" w:after="330" w:line="576" w:lineRule="auto"/>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58704B"/>
    <w:pPr>
      <w:spacing w:beforeLines="50" w:afterLines="50" w:line="400" w:lineRule="exact"/>
    </w:pPr>
    <w:rPr>
      <w:rFonts w:ascii="宋体" w:hAnsi="Courier New"/>
      <w:szCs w:val="21"/>
    </w:rPr>
  </w:style>
  <w:style w:type="paragraph" w:styleId="a4">
    <w:name w:val="footer"/>
    <w:basedOn w:val="a"/>
    <w:qFormat/>
    <w:rsid w:val="0058704B"/>
    <w:pPr>
      <w:tabs>
        <w:tab w:val="center" w:pos="4153"/>
        <w:tab w:val="right" w:pos="8306"/>
      </w:tabs>
      <w:snapToGrid w:val="0"/>
      <w:jc w:val="left"/>
    </w:pPr>
    <w:rPr>
      <w:rFonts w:eastAsia="黑体"/>
      <w:snapToGrid w:val="0"/>
      <w:kern w:val="0"/>
      <w:sz w:val="18"/>
      <w:szCs w:val="18"/>
    </w:rPr>
  </w:style>
  <w:style w:type="paragraph" w:styleId="a5">
    <w:name w:val="header"/>
    <w:basedOn w:val="a"/>
    <w:link w:val="Char"/>
    <w:rsid w:val="00BE5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E5BD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386</Words>
  <Characters>2202</Characters>
  <Application>Microsoft Office Word</Application>
  <DocSecurity>0</DocSecurity>
  <Lines>18</Lines>
  <Paragraphs>5</Paragraphs>
  <ScaleCrop>false</ScaleCrop>
  <Company>Micorosoft</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樟</dc:creator>
  <cp:lastModifiedBy>Micorosoft</cp:lastModifiedBy>
  <cp:revision>4</cp:revision>
  <cp:lastPrinted>2024-12-13T08:12:00Z</cp:lastPrinted>
  <dcterms:created xsi:type="dcterms:W3CDTF">2024-12-16T00:33:00Z</dcterms:created>
  <dcterms:modified xsi:type="dcterms:W3CDTF">2024-12-16T07:55:00Z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430F099FE2EE45D8BC5831FDF1425956_13</vt:lpwstr>
  </property>
</Properties>
</file>